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838"/>
        <w:gridCol w:w="7172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Beneficjent: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Gmina Ciel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ądz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FELD.08.07-IZ.00-0073/24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Realizacja programów rozwojowych w szko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łach podstawowych </w:t>
              <w:br/>
              <w:t xml:space="preserve">w gminie Cielądz.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Harmonogram realizacji wsparcia w projekcie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702"/>
        <w:gridCol w:w="1559"/>
        <w:gridCol w:w="1559"/>
        <w:gridCol w:w="1134"/>
        <w:gridCol w:w="3828"/>
      </w:tblGrid>
      <w:tr>
        <w:trPr>
          <w:trHeight w:val="268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Miejsce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Szko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ła Podstawowa w Cielądzu</w:t>
            </w: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Adres wsparcia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Ciel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ądz 38, 96-214 Cielądz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Rodzaj zaj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ęć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 informatyczne z elementami robotyki -  gr.II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Prowadz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ący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Barbara Rogulska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Liczba osób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Godzina rozpocz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Godzina zako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ńczenia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Liczba godzin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Uwagi</w:t>
            </w: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06.03.2025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13.03.2025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20.03.2025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27.03.2025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03.04,2025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10.04.2025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24.04.2025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08.05.2025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22.05.2025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29.05.2025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05.0562025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12.06.2025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26.06.2025 r.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